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Security Guard Incident Report Template</w:t>
      </w:r>
    </w:p>
    <w:p>
      <w:pPr>
        <w:pStyle w:val="Subtitle"/>
      </w:pPr>
      <w:r>
        <w:rPr>
          <w:rFonts w:ascii="Arial" w:hAnsi="Arial"/>
          <w:color w:val="43515C"/>
        </w:rPr>
        <w:t>A practical blank form, field guidance and a completed fictional example for physical-security incidents</w:t>
      </w:r>
    </w:p>
    <w:p>
      <w:pPr>
        <w:pStyle w:val="Heading1"/>
        <w:spacing w:before="160" w:after="100"/>
      </w:pPr>
      <w:r>
        <w:rPr>
          <w:rFonts w:ascii="Arial" w:hAnsi="Arial"/>
          <w:color w:val="000000"/>
        </w:rPr>
        <w:t>How to use this report</w:t>
      </w:r>
    </w:p>
    <w:p>
      <w:r>
        <w:t>Complete the report as soon as conditions are safe. Record what the guard directly observed, what another person reported, the action taken, who was notified and what still needs follow-up. A supervisor should review incomplete or high-severity reports before final closure.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194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Section</w:t>
            </w:r>
          </w:p>
        </w:tc>
        <w:tc>
          <w:tcPr>
            <w:tcW w:type="dxa" w:w="5112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What to record</w:t>
            </w:r>
          </w:p>
        </w:tc>
        <w:tc>
          <w:tcPr>
            <w:tcW w:type="dxa" w:w="33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Avoid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Time and place</w:t>
            </w:r>
          </w:p>
        </w:tc>
        <w:tc>
          <w:tcPr>
            <w:tcW w:type="dxa" w:w="5112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Occurrence time, report time, site and exact location</w:t>
            </w:r>
          </w:p>
        </w:tc>
        <w:tc>
          <w:tcPr>
            <w:tcW w:type="dxa" w:w="33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Approximate phrases when an exact time or location is known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People and property</w:t>
            </w:r>
          </w:p>
        </w:tc>
        <w:tc>
          <w:tcPr>
            <w:tcW w:type="dxa" w:w="5112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Names or identifiers needed for response and follow-up</w:t>
            </w:r>
          </w:p>
        </w:tc>
        <w:tc>
          <w:tcPr>
            <w:tcW w:type="dxa" w:w="33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Unnecessary personal data or unsupported assumptions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Sequence of events</w:t>
            </w:r>
          </w:p>
        </w:tc>
        <w:tc>
          <w:tcPr>
            <w:tcW w:type="dxa" w:w="5112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What was observed first, what changed and what happened next</w:t>
            </w:r>
          </w:p>
        </w:tc>
        <w:tc>
          <w:tcPr>
            <w:tcW w:type="dxa" w:w="33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Conclusions about motive, fault or liability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Immediate action</w:t>
            </w:r>
          </w:p>
        </w:tc>
        <w:tc>
          <w:tcPr>
            <w:tcW w:type="dxa" w:w="5112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Steps taken to protect people, secure the area and notify others</w:t>
            </w:r>
          </w:p>
        </w:tc>
        <w:tc>
          <w:tcPr>
            <w:tcW w:type="dxa" w:w="33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Statements that imply a task is complete when follow-up remains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Evidence</w:t>
            </w:r>
          </w:p>
        </w:tc>
        <w:tc>
          <w:tcPr>
            <w:tcW w:type="dxa" w:w="5112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Photos, video references, witness details, access logs or item identifiers</w:t>
            </w:r>
          </w:p>
        </w:tc>
        <w:tc>
          <w:tcPr>
            <w:tcW w:type="dxa" w:w="33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Editing or discarding original evidence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Follow-up</w:t>
            </w:r>
          </w:p>
        </w:tc>
        <w:tc>
          <w:tcPr>
            <w:tcW w:type="dxa" w:w="5112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Named owner, required action, due date and supervisor decision</w:t>
            </w:r>
          </w:p>
        </w:tc>
        <w:tc>
          <w:tcPr>
            <w:tcW w:type="dxa" w:w="33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Generic notes such as monitor or handle later</w:t>
            </w:r>
          </w:p>
        </w:tc>
      </w:tr>
    </w:tbl>
    <w:p>
      <w:pPr>
        <w:pStyle w:val="Heading1"/>
        <w:spacing w:before="160" w:after="100"/>
      </w:pPr>
      <w:r>
        <w:rPr>
          <w:rFonts w:ascii="Arial" w:hAnsi="Arial"/>
          <w:color w:val="000000"/>
        </w:rPr>
        <w:t>Before submission</w:t>
      </w:r>
    </w:p>
    <w:p>
      <w:pPr>
        <w:pStyle w:val="ListBullet"/>
      </w:pPr>
      <w:r>
        <w:t>Confirm the incident number, occurrence time and exact location are present.</w:t>
      </w:r>
    </w:p>
    <w:p>
      <w:pPr>
        <w:pStyle w:val="ListBullet"/>
      </w:pPr>
      <w:r>
        <w:t>Separate direct observations from information received from witnesses or callers.</w:t>
      </w:r>
    </w:p>
    <w:p>
      <w:pPr>
        <w:pStyle w:val="ListBullet"/>
      </w:pPr>
      <w:r>
        <w:t>Attach or reference available evidence and record who received each notification.</w:t>
      </w:r>
    </w:p>
    <w:p>
      <w:pPr>
        <w:pStyle w:val="ListBullet"/>
      </w:pPr>
      <w:r>
        <w:t>State any unresolved risk and the next responsible owner.</w:t>
      </w:r>
    </w:p>
    <w:p>
      <w:pPr>
        <w:pStyle w:val="ListBullet"/>
      </w:pPr>
      <w:r>
        <w:t>Ask a supervisor to return the report if essential evidence or chronology is unclear.</w:t>
      </w:r>
    </w:p>
    <w:p>
      <w:r>
        <w:br w:type="page"/>
      </w:r>
    </w:p>
    <w:p>
      <w:pPr>
        <w:pStyle w:val="Heading1"/>
        <w:spacing w:before="160" w:after="100"/>
      </w:pPr>
      <w:r>
        <w:rPr>
          <w:rFonts w:ascii="Arial" w:hAnsi="Arial"/>
          <w:color w:val="000000"/>
        </w:rPr>
        <w:t>Blank Security Guard Incident Report</w:t>
      </w:r>
    </w:p>
    <w:p>
      <w:pPr>
        <w:spacing w:after="100"/>
      </w:pPr>
      <w:r>
        <w:rPr>
          <w:rFonts w:ascii="Arial" w:hAnsi="Arial"/>
          <w:b/>
          <w:sz w:val="19"/>
        </w:rPr>
        <w:t xml:space="preserve">Incident number  </w:t>
      </w:r>
      <w:r>
        <w:rPr>
          <w:color w:val="7A8791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rPr>
          <w:tblHeader/>
        </w:trP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Occurred date and time</w:t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Reported date and time</w:t>
            </w:r>
          </w:p>
        </w:tc>
      </w:tr>
      <w:t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rPr>
          <w:tblHeader/>
        </w:trP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Client or site</w:t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Exact location</w:t>
            </w:r>
          </w:p>
        </w:tc>
      </w:tr>
      <w:t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rPr>
          <w:tblHeader/>
        </w:trP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Reported by</w:t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Initial severity</w:t>
            </w:r>
          </w:p>
        </w:tc>
      </w:tr>
      <w:t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Low   Medium   High   Critical</w:t>
            </w:r>
          </w:p>
        </w:tc>
      </w:tr>
    </w:tbl>
    <w:p>
      <w:pPr>
        <w:pStyle w:val="Heading2"/>
        <w:spacing w:before="100" w:after="100"/>
      </w:pPr>
      <w:r>
        <w:rPr>
          <w:rFonts w:ascii="Arial" w:hAnsi="Arial"/>
          <w:color w:val="000000"/>
        </w:rPr>
        <w:t>Incident type</w:t>
      </w:r>
    </w:p>
    <w:p>
      <w:r>
        <w:t>☐ Access violation   ☐ Alarm event   ☐ Property event   ☐ Aggressive behavior   ☐ Safety concern   ☐ Other</w:t>
      </w:r>
    </w:p>
    <w:p>
      <w:pPr>
        <w:pStyle w:val="Heading2"/>
        <w:spacing w:before="100" w:after="100"/>
      </w:pPr>
      <w:r>
        <w:rPr>
          <w:rFonts w:ascii="Arial" w:hAnsi="Arial"/>
          <w:color w:val="000000"/>
        </w:rPr>
        <w:t>What happened</w:t>
      </w:r>
    </w:p>
    <w:p>
      <w:r>
        <w:t>Describe the sequence in chronological order. State what the guard observed directly and identify information received from others.</w:t>
      </w:r>
    </w:p>
    <w:p>
      <w:r>
        <w:t>________________________________________________________________________________________________</w:t>
      </w:r>
    </w:p>
    <w:p>
      <w:r>
        <w:t>________________________________________________________________________________________________</w:t>
      </w:r>
    </w:p>
    <w:p>
      <w:r>
        <w:t>________________________________________________________________________________________________</w:t>
      </w:r>
    </w:p>
    <w:p>
      <w:pPr>
        <w:pStyle w:val="Heading2"/>
        <w:spacing w:before="100" w:after="100"/>
      </w:pPr>
      <w:r>
        <w:rPr>
          <w:rFonts w:ascii="Arial" w:hAnsi="Arial"/>
          <w:color w:val="000000"/>
        </w:rPr>
        <w:t>People property and exact location</w:t>
      </w:r>
    </w:p>
    <w:p>
      <w:r>
        <w:t>________________________________________________________________________________________________</w:t>
      </w:r>
    </w:p>
    <w:p>
      <w:r>
        <w:t>________________________________________________________________________________________________</w:t>
      </w:r>
    </w:p>
    <w:p>
      <w:pPr>
        <w:pStyle w:val="Heading2"/>
        <w:spacing w:before="100" w:after="100"/>
      </w:pPr>
      <w:r>
        <w:rPr>
          <w:rFonts w:ascii="Arial" w:hAnsi="Arial"/>
          <w:color w:val="000000"/>
        </w:rPr>
        <w:t>Immediate actions and notifications</w:t>
      </w:r>
    </w:p>
    <w:p>
      <w:r>
        <w:t>________________________________________________________________________________________________</w:t>
      </w:r>
    </w:p>
    <w:p>
      <w:r>
        <w:t>________________________________________________________________________________________________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rPr>
          <w:tblHeader/>
        </w:trP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Evidence attached or referenced</w:t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Witness or caller details</w:t>
            </w:r>
          </w:p>
        </w:tc>
      </w:tr>
      <w:t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rPr>
          <w:tblHeader/>
        </w:trP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Follow-up required</w:t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17324D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Responsible owner and due date</w:t>
            </w:r>
          </w:p>
        </w:tc>
      </w:tr>
      <w:tr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525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pStyle w:val="Heading2"/>
        <w:spacing w:before="100" w:after="100"/>
      </w:pPr>
      <w:r>
        <w:rPr>
          <w:rFonts w:ascii="Arial" w:hAnsi="Arial"/>
          <w:color w:val="000000"/>
        </w:rPr>
        <w:t>Supervisor review</w:t>
      </w:r>
    </w:p>
    <w:p>
      <w:r>
        <w:t>☐ Accept for follow-up   ☐ Return for correction   ☐ Escalate   ☐ Close after verified completion</w:t>
      </w:r>
    </w:p>
    <w:p>
      <w:pPr>
        <w:spacing w:after="100"/>
      </w:pPr>
      <w:r>
        <w:rPr>
          <w:rFonts w:ascii="Arial" w:hAnsi="Arial"/>
          <w:b/>
          <w:sz w:val="19"/>
        </w:rPr>
        <w:t xml:space="preserve">Reviewer comments  </w:t>
      </w:r>
      <w:r>
        <w:rPr>
          <w:color w:val="7A8791"/>
        </w:rPr>
        <w:t>________________________________________________________________________________</w:t>
      </w:r>
    </w:p>
    <w:p>
      <w:pPr>
        <w:spacing w:after="100"/>
      </w:pPr>
      <w:r>
        <w:rPr>
          <w:rFonts w:ascii="Arial" w:hAnsi="Arial"/>
          <w:b/>
          <w:sz w:val="19"/>
        </w:rPr>
        <w:t xml:space="preserve">Reviewer name and date  </w:t>
      </w:r>
      <w:r>
        <w:rPr>
          <w:color w:val="7A8791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  <w:spacing w:before="160" w:after="100"/>
      </w:pPr>
      <w:r>
        <w:rPr>
          <w:rFonts w:ascii="Arial" w:hAnsi="Arial"/>
          <w:color w:val="000000"/>
        </w:rPr>
        <w:t>Completed Fictional Example</w:t>
      </w:r>
    </w:p>
    <w:p>
      <w:r>
        <w:t>This example shows the level of detail a reviewer can act on. Names, organizations and events are fictional.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Incident number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SG-2026-0142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Occurred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21 September 2026 at 11:18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Reported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21 September 2026 at 11:27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Site and location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Harbor Point Tower, level 12 east plant-room door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Reported by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Amina Reed, security officer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Type and severity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Alarm event, medium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What happened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At 11:18, the forced-door alarm activated for the level 12 east plant room. I reached the door at 11:24. The door was closed and no person was present in the corridor or plant room. The latch engaged when I tested it, but the alarm remained active.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People or property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Level 12 east plant-room door, latch and alarm sensor. No injury or visible property damage.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Immediate action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I secured the door, checked the adjacent corridor and stair access, and asked lobby control to restrict contractor access to level 12 until facilities inspected the sensor.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Notifications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Duty supervisor notified at 11:25. Facilities desk contacted at 11:26; ticket F-8821 opened.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Evidence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Photos of the closed door, latch and alarm panel; dispatch reference DSP-0001.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Follow-up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Facilities to test the sensor and door closer by 15:00. Duty supervisor to confirm the result and update site instructions if the fault recurs.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Supervisor decision</w:t>
            </w:r>
          </w:p>
        </w:tc>
        <w:tc>
          <w:tcPr>
            <w:tcW w:type="dxa" w:w="813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shd w:fill="F7F9FA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Accepted for follow-up. Keep open until facilities records the test result.</w:t>
            </w:r>
          </w:p>
        </w:tc>
      </w:tr>
    </w:tbl>
    <w:p>
      <w:pPr>
        <w:pStyle w:val="Heading1"/>
        <w:spacing w:before="160" w:after="100"/>
      </w:pPr>
      <w:r>
        <w:rPr>
          <w:rFonts w:ascii="Arial" w:hAnsi="Arial"/>
          <w:color w:val="000000"/>
        </w:rPr>
        <w:t>Digital follow-up in Jodoo</w:t>
      </w:r>
    </w:p>
    <w:p>
      <w:r>
        <w:t>The downloadable form can support an offline or printable process. The Jodoo example app adds mobile evidence capture, a review-and-return workflow, incident status, assigned follow-up, dashboards and links to dispatch and shift handover.</w:t>
      </w:r>
    </w:p>
    <w:sectPr w:rsidR="00FC693F" w:rsidRPr="0006063C" w:rsidSect="00034616">
      <w:footerReference w:type="default" r:id="rId9"/>
      <w:pgSz w:w="12240" w:h="15840"/>
      <w:pgMar w:top="835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8747D"/>
        <w:sz w:val="16"/>
      </w:rPr>
      <w:t>Security Guard Incident Report Template  |  Jodoo  |  Fictional example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